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A487" w14:textId="77777777" w:rsidR="009D6116" w:rsidRDefault="009D611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7317965F" w14:textId="77777777" w:rsidR="009D6116" w:rsidRDefault="009D6116">
      <w:pPr>
        <w:pStyle w:val="newncpi"/>
        <w:ind w:firstLine="0"/>
        <w:jc w:val="center"/>
      </w:pPr>
      <w:r>
        <w:rPr>
          <w:rStyle w:val="datepr"/>
        </w:rPr>
        <w:t>22 октября 2024 г.</w:t>
      </w:r>
      <w:r>
        <w:rPr>
          <w:rStyle w:val="number"/>
        </w:rPr>
        <w:t xml:space="preserve"> № 1493</w:t>
      </w:r>
    </w:p>
    <w:p w14:paraId="6AF0B7B7" w14:textId="77777777" w:rsidR="009D6116" w:rsidRDefault="009D6116">
      <w:pPr>
        <w:pStyle w:val="titlencpi"/>
        <w:ind w:right="3685"/>
      </w:pPr>
      <w:r>
        <w:t>Об установлении брони для приема на работу граждан на 2025 год</w:t>
      </w:r>
    </w:p>
    <w:p w14:paraId="2FC4D567" w14:textId="77777777" w:rsidR="009D6116" w:rsidRDefault="009D6116">
      <w:pPr>
        <w:pStyle w:val="preamble"/>
      </w:pPr>
      <w:r>
        <w:t>На основании пунктов 4 и 7 Положения о порядке установления брони для приема на работу граждан, особо нуждающихся в социальной защите и не способных на равных условиях конкурировать на рынке труда, утвержденного постановлением Совета Министров Республики Беларусь от 20 июля 2022 г. № 475, Бешенковичский районный исполнительный комитет РЕШИЛ:</w:t>
      </w:r>
    </w:p>
    <w:p w14:paraId="2D3B95E1" w14:textId="77777777" w:rsidR="009D6116" w:rsidRDefault="009D6116">
      <w:pPr>
        <w:pStyle w:val="point"/>
      </w:pPr>
      <w:r>
        <w:t>1. Установить на 2025 год броню нанимателям Бешенковичского района для приема на работу граждан:</w:t>
      </w:r>
    </w:p>
    <w:p w14:paraId="61F19AD3" w14:textId="77777777" w:rsidR="009D6116" w:rsidRDefault="009D6116">
      <w:pPr>
        <w:pStyle w:val="newncpi"/>
      </w:pPr>
      <w:r>
        <w:t>особо нуждающихся в социальной защите и не способных на равных условиях конкурировать на рынке труда, согласно приложению 1;</w:t>
      </w:r>
    </w:p>
    <w:p w14:paraId="0CCD7270" w14:textId="77777777" w:rsidR="009D6116" w:rsidRDefault="009D6116">
      <w:pPr>
        <w:pStyle w:val="newncpi"/>
      </w:pPr>
      <w:r>
        <w:t>из числа родителей, обязанных возмещать расходы, затраченные государством на содержание детей, находящихся на государственном обеспечении, согласно приложению 2.</w:t>
      </w:r>
    </w:p>
    <w:p w14:paraId="40ABE7BD" w14:textId="77777777" w:rsidR="009D6116" w:rsidRDefault="009D6116">
      <w:pPr>
        <w:pStyle w:val="point"/>
      </w:pPr>
      <w:r>
        <w:t>2. Контроль за выполнением настоящего решения возложить на заместителя председателя Бешенковичского районного исполнительного комитета по направлению деятельности.</w:t>
      </w:r>
    </w:p>
    <w:p w14:paraId="1DE60837" w14:textId="77777777" w:rsidR="009D6116" w:rsidRDefault="009D6116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1CD5F58F" w14:textId="77777777" w:rsidR="009D6116" w:rsidRDefault="009D61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D6116" w14:paraId="04765EE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A1EAD" w14:textId="77777777" w:rsidR="009D6116" w:rsidRDefault="009D611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B7C7BC" w14:textId="77777777" w:rsidR="009D6116" w:rsidRDefault="009D611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4C2465AA" w14:textId="77777777" w:rsidR="009D6116" w:rsidRDefault="009D6116">
      <w:pPr>
        <w:pStyle w:val="newncpi"/>
      </w:pPr>
      <w:r>
        <w:t> </w:t>
      </w:r>
    </w:p>
    <w:p w14:paraId="2B5D141C" w14:textId="77777777" w:rsidR="009D6116" w:rsidRDefault="009D6116">
      <w:pPr>
        <w:rPr>
          <w:rFonts w:eastAsia="Times New Roman"/>
        </w:rPr>
        <w:sectPr w:rsidR="009D6116" w:rsidSect="009D6116">
          <w:headerReference w:type="even" r:id="rId6"/>
          <w:pgSz w:w="11906" w:h="16838" w:code="9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2CD9387C" w14:textId="77777777" w:rsidR="009D6116" w:rsidRDefault="009D611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8"/>
        <w:gridCol w:w="4911"/>
      </w:tblGrid>
      <w:tr w:rsidR="009D6116" w14:paraId="5587AC6E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8BD5F" w14:textId="77777777" w:rsidR="009D6116" w:rsidRDefault="009D611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B48F" w14:textId="77777777" w:rsidR="009D6116" w:rsidRDefault="009D6116">
            <w:pPr>
              <w:pStyle w:val="append1"/>
            </w:pPr>
            <w:r>
              <w:t>Приложение 1</w:t>
            </w:r>
          </w:p>
          <w:p w14:paraId="07CCC3FE" w14:textId="77777777" w:rsidR="009D6116" w:rsidRDefault="009D6116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 xml:space="preserve">исполнительного комитета </w:t>
            </w:r>
            <w:r>
              <w:br/>
              <w:t>22.10.2024 № 1493</w:t>
            </w:r>
          </w:p>
        </w:tc>
      </w:tr>
    </w:tbl>
    <w:p w14:paraId="50EEEAE6" w14:textId="77777777" w:rsidR="009D6116" w:rsidRDefault="009D6116">
      <w:pPr>
        <w:pStyle w:val="titlep"/>
        <w:jc w:val="left"/>
      </w:pPr>
      <w:r>
        <w:t>БРОНЯ</w:t>
      </w:r>
      <w:r>
        <w:br/>
        <w:t>нанимателям Бешенковичского района для приема на работу граждан, особо нуждающихся в социальной защите и не способных на равных условиях конкурировать на рынке труда,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3091"/>
        <w:gridCol w:w="1273"/>
        <w:gridCol w:w="1545"/>
        <w:gridCol w:w="1756"/>
        <w:gridCol w:w="988"/>
        <w:gridCol w:w="991"/>
        <w:gridCol w:w="1701"/>
        <w:gridCol w:w="1558"/>
        <w:gridCol w:w="2880"/>
      </w:tblGrid>
      <w:tr w:rsidR="009D6116" w14:paraId="10AE4973" w14:textId="77777777">
        <w:trPr>
          <w:trHeight w:val="240"/>
        </w:trPr>
        <w:tc>
          <w:tcPr>
            <w:tcW w:w="1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66BD1" w14:textId="77777777" w:rsidR="009D6116" w:rsidRDefault="009D61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33135" w14:textId="77777777" w:rsidR="009D6116" w:rsidRDefault="009D6116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937088" w14:textId="77777777" w:rsidR="009D6116" w:rsidRDefault="009D6116">
            <w:pPr>
              <w:pStyle w:val="table10"/>
              <w:jc w:val="center"/>
            </w:pPr>
            <w:r>
              <w:t>Броня приема на работу на свободное (созданное) рабочее место, всего человек</w:t>
            </w:r>
          </w:p>
        </w:tc>
        <w:tc>
          <w:tcPr>
            <w:tcW w:w="3525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0E6AD" w14:textId="77777777" w:rsidR="009D6116" w:rsidRDefault="009D6116">
            <w:pPr>
              <w:pStyle w:val="table10"/>
              <w:jc w:val="center"/>
            </w:pPr>
            <w:r>
              <w:t>В том числе по категориям</w:t>
            </w:r>
          </w:p>
        </w:tc>
      </w:tr>
      <w:tr w:rsidR="009D6116" w14:paraId="3DFC4805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8903" w14:textId="77777777" w:rsidR="009D6116" w:rsidRDefault="009D61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EF77" w14:textId="77777777" w:rsidR="009D6116" w:rsidRDefault="009D61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49F" w14:textId="77777777" w:rsidR="009D6116" w:rsidRDefault="009D61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C1109" w14:textId="77777777" w:rsidR="009D6116" w:rsidRDefault="009D6116">
            <w:pPr>
              <w:pStyle w:val="table10"/>
              <w:jc w:val="center"/>
            </w:pPr>
            <w:r>
              <w:t>родители в многодетных и неполных семьях, а также воспитывающие детей-инвалидов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6680D" w14:textId="77777777" w:rsidR="009D6116" w:rsidRDefault="009D6116">
            <w:pPr>
              <w:pStyle w:val="table10"/>
              <w:jc w:val="center"/>
            </w:pPr>
            <w:r>
              <w:t>дети-сироты, дети, оставшиеся без попечения родителей, лица из числа детей-сирот и детей, оставшихся без попечения родителей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29637" w14:textId="77777777" w:rsidR="009D6116" w:rsidRDefault="009D6116">
            <w:pPr>
              <w:pStyle w:val="table10"/>
              <w:jc w:val="center"/>
            </w:pPr>
            <w:r>
              <w:t>впервые ищущие работу в возрасте до 21 года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6723" w14:textId="77777777" w:rsidR="009D6116" w:rsidRDefault="009D6116">
            <w:pPr>
              <w:pStyle w:val="table10"/>
              <w:jc w:val="center"/>
            </w:pPr>
            <w:r>
              <w:t>инвалиды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69B87" w14:textId="77777777" w:rsidR="009D6116" w:rsidRDefault="009D6116">
            <w:pPr>
              <w:pStyle w:val="table10"/>
              <w:jc w:val="center"/>
            </w:pPr>
            <w:r>
              <w:t>лица предпенсионного возраста (за два года до наступления возраста, дающего право на пенсию по возрасту на общих основаниях)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986F3" w14:textId="77777777" w:rsidR="009D6116" w:rsidRDefault="009D6116">
            <w:pPr>
              <w:pStyle w:val="table10"/>
              <w:jc w:val="center"/>
            </w:pPr>
            <w:r>
              <w:t>освобожденные из мест лишения свободы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AEA54" w14:textId="77777777" w:rsidR="009D6116" w:rsidRDefault="009D6116">
            <w:pPr>
              <w:pStyle w:val="table10"/>
              <w:jc w:val="center"/>
            </w:pPr>
            <w:r>
              <w:t>уволенные с военной службы, из органов внутренних дел, Следственного комитета Республики Беларусь, органов финансовых расследований Комитета государственного контроля Республики Беларусь, органов и подразделений по чрезвычайным ситуациям в связи с окончанием срочной службы, ликвидацией организации, сокращением численности или штата работников, по состоянию здоровья или по другим уважительным причинам без права на пенсию</w:t>
            </w:r>
          </w:p>
        </w:tc>
      </w:tr>
      <w:tr w:rsidR="009D6116" w14:paraId="7B7B5969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3C7CD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4D11A" w14:textId="77777777" w:rsidR="009D6116" w:rsidRDefault="009D6116">
            <w:pPr>
              <w:pStyle w:val="table10"/>
            </w:pPr>
            <w:r>
              <w:t>Филиал «Бешенковичское дорожно-ремонтно-строительное управление № 110» коммунального проектно-ремонтно-строительного унитарного предприятия «</w:t>
            </w:r>
            <w:proofErr w:type="spellStart"/>
            <w:r>
              <w:t>Витебскоблдорстрой</w:t>
            </w:r>
            <w:proofErr w:type="spellEnd"/>
            <w: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68CD2" w14:textId="77777777" w:rsidR="009D6116" w:rsidRDefault="009D61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4F482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4FD1E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F22DF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9769D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84851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B18D4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48D8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11BF554C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21445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701D" w14:textId="77777777" w:rsidR="009D6116" w:rsidRDefault="009D6116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9C23C" w14:textId="77777777" w:rsidR="009D6116" w:rsidRDefault="009D61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D2608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B727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7407D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1D5C5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2E904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2216E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97737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396AA8B7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7EFB1" w14:textId="77777777" w:rsidR="009D6116" w:rsidRDefault="009D61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34427" w14:textId="77777777" w:rsidR="009D6116" w:rsidRDefault="009D6116">
            <w:pPr>
              <w:pStyle w:val="table10"/>
            </w:pPr>
            <w:r>
              <w:t>Бешенковичский филиал Витебского областного потребительского общества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A408B" w14:textId="77777777" w:rsidR="009D6116" w:rsidRDefault="009D61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AED0F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54D1D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C2442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7BFD6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72FA2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B5136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6C18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19DD7446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73FB5" w14:textId="77777777" w:rsidR="009D6116" w:rsidRDefault="009D61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3EAAF" w14:textId="77777777" w:rsidR="009D6116" w:rsidRDefault="009D6116">
            <w:pPr>
              <w:pStyle w:val="table10"/>
            </w:pPr>
            <w:r>
              <w:t xml:space="preserve">Коммунальное сельскохозяйственное </w:t>
            </w:r>
            <w:r>
              <w:lastRenderedPageBreak/>
              <w:t>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EEC93" w14:textId="77777777" w:rsidR="009D6116" w:rsidRDefault="009D6116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6BBA9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A30B0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AB82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7F022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43021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2B6B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9820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270DC5C0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26A55" w14:textId="77777777" w:rsidR="009D6116" w:rsidRDefault="009D61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34F7" w14:textId="77777777" w:rsidR="009D6116" w:rsidRDefault="009D611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ACBC3" w14:textId="77777777" w:rsidR="009D6116" w:rsidRDefault="009D61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7BE20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593A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DAF07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07F1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7EC72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6A482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1F9EC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407F3834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8299F" w14:textId="77777777" w:rsidR="009D6116" w:rsidRDefault="009D61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8E8D" w14:textId="77777777" w:rsidR="009D6116" w:rsidRDefault="009D6116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6B69A" w14:textId="77777777" w:rsidR="009D6116" w:rsidRDefault="009D61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803B1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27DA9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B867F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A8A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F0F2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4032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6E3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0AD33E98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BEAAB" w14:textId="77777777" w:rsidR="009D6116" w:rsidRDefault="009D61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6A2C6" w14:textId="77777777" w:rsidR="009D6116" w:rsidRDefault="009D6116">
            <w:pPr>
              <w:pStyle w:val="table10"/>
            </w:pPr>
            <w:r>
              <w:t>Коммунальное строительное унитарное предприятие «Бешенковичская ПМК-41»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F5B1F" w14:textId="77777777" w:rsidR="009D6116" w:rsidRDefault="009D61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7A242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88A54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F95E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598CD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3D5ED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2BCB1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D92BD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0E61880C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51047" w14:textId="77777777" w:rsidR="009D6116" w:rsidRDefault="009D61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636F" w14:textId="77777777" w:rsidR="009D6116" w:rsidRDefault="009D6116">
            <w:pPr>
              <w:pStyle w:val="table10"/>
            </w:pPr>
            <w:r>
              <w:t>Научно-производственное предприятие «</w:t>
            </w:r>
            <w:proofErr w:type="spellStart"/>
            <w:r>
              <w:t>Белкотломаш</w:t>
            </w:r>
            <w:proofErr w:type="spellEnd"/>
            <w:r>
              <w:t>» общество с ограниченной ответственностью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98BE4" w14:textId="77777777" w:rsidR="009D6116" w:rsidRDefault="009D61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7954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35AA4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91839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329F5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D816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95D3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A3EA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39338D6A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CFADE" w14:textId="77777777" w:rsidR="009D6116" w:rsidRDefault="009D61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0ED90" w14:textId="77777777" w:rsidR="009D6116" w:rsidRDefault="009D6116">
            <w:pPr>
              <w:pStyle w:val="table10"/>
            </w:pPr>
            <w:r>
              <w:t xml:space="preserve">Государственное лесохозяйственное учреждение «Бешенковичский лесхоз»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6A220" w14:textId="77777777" w:rsidR="009D6116" w:rsidRDefault="009D61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68648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5E2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A205B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83360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7CE8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A029A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2C2AF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6E4A81BE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4ED2F" w14:textId="77777777" w:rsidR="009D6116" w:rsidRDefault="009D61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BD719" w14:textId="77777777" w:rsidR="009D6116" w:rsidRDefault="009D6116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7CEAC" w14:textId="77777777" w:rsidR="009D6116" w:rsidRDefault="009D61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683C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BB82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3F79A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E7D1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22416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F516E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3E94F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</w:tr>
      <w:tr w:rsidR="009D6116" w14:paraId="052846DC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05494" w14:textId="77777777" w:rsidR="009D6116" w:rsidRDefault="009D61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983A9" w14:textId="77777777" w:rsidR="009D6116" w:rsidRDefault="009D611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 xml:space="preserve">-ВМК»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CD8B1" w14:textId="77777777" w:rsidR="009D6116" w:rsidRDefault="009D61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1C02A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5D82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17821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536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F0A02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FDC59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51235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0F7C2D6F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323F6" w14:textId="77777777" w:rsidR="009D6116" w:rsidRDefault="009D61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77D7E" w14:textId="77777777" w:rsidR="009D6116" w:rsidRDefault="009D6116">
            <w:pPr>
              <w:pStyle w:val="table10"/>
            </w:pPr>
            <w:r>
              <w:t>Коммунальное дочернее унитарное предприятие мелиоративных систем «Бешенковичское ПМС»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61E9E" w14:textId="77777777" w:rsidR="009D6116" w:rsidRDefault="009D61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1770E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1DE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48A7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0105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03DE9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3FF2A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0E133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7A1A8D67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7AEE0" w14:textId="77777777" w:rsidR="009D6116" w:rsidRDefault="009D61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CA004" w14:textId="77777777" w:rsidR="009D6116" w:rsidRDefault="009D6116">
            <w:pPr>
              <w:pStyle w:val="table10"/>
            </w:pPr>
            <w:r>
              <w:t>Учреждение образования «</w:t>
            </w:r>
            <w:proofErr w:type="spellStart"/>
            <w:r>
              <w:t>Улльский</w:t>
            </w:r>
            <w:proofErr w:type="spellEnd"/>
            <w:r>
              <w:t xml:space="preserve"> государственный колледж имени </w:t>
            </w:r>
            <w:proofErr w:type="spellStart"/>
            <w:r>
              <w:t>Л.М.Доватора</w:t>
            </w:r>
            <w:proofErr w:type="spellEnd"/>
            <w: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8EB9" w14:textId="77777777" w:rsidR="009D6116" w:rsidRDefault="009D61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71DCE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F566F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397B2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F6A6C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2744B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450E3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0707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4D86CEA8" w14:textId="77777777">
        <w:trPr>
          <w:trHeight w:val="240"/>
        </w:trPr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F9DFA" w14:textId="77777777" w:rsidR="009D6116" w:rsidRDefault="009D61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C7FDF" w14:textId="77777777" w:rsidR="009D6116" w:rsidRDefault="009D6116">
            <w:pPr>
              <w:pStyle w:val="table10"/>
            </w:pPr>
            <w:r>
              <w:t xml:space="preserve">Производственный участок </w:t>
            </w:r>
            <w:proofErr w:type="spellStart"/>
            <w:r>
              <w:t>г.п</w:t>
            </w:r>
            <w:proofErr w:type="spellEnd"/>
            <w:r>
              <w:t>. Бешенковичи № 7 совместного общества с ограниченной ответственностью «Белвест»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781D" w14:textId="77777777" w:rsidR="009D6116" w:rsidRDefault="009D61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ABCE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9CB51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98EDC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A5CBF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4E886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92E0E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88C9A" w14:textId="77777777" w:rsidR="009D6116" w:rsidRDefault="009D6116">
            <w:pPr>
              <w:pStyle w:val="table10"/>
              <w:jc w:val="center"/>
            </w:pPr>
            <w:r>
              <w:t>–</w:t>
            </w:r>
          </w:p>
        </w:tc>
      </w:tr>
      <w:tr w:rsidR="009D6116" w14:paraId="1F1633A2" w14:textId="77777777">
        <w:trPr>
          <w:trHeight w:val="240"/>
        </w:trPr>
        <w:tc>
          <w:tcPr>
            <w:tcW w:w="108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2D8D3" w14:textId="77777777" w:rsidR="009D6116" w:rsidRDefault="009D6116">
            <w:pPr>
              <w:pStyle w:val="table10"/>
            </w:pPr>
            <w: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4EFAB" w14:textId="77777777" w:rsidR="009D6116" w:rsidRDefault="009D611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44DF" w14:textId="77777777" w:rsidR="009D6116" w:rsidRDefault="009D6116">
            <w:pPr>
              <w:pStyle w:val="table10"/>
              <w:jc w:val="center"/>
            </w:pPr>
            <w:r>
              <w:t>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DD902" w14:textId="77777777" w:rsidR="009D6116" w:rsidRDefault="009D61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AEBD5" w14:textId="77777777" w:rsidR="009D6116" w:rsidRDefault="009D61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61682" w14:textId="77777777" w:rsidR="009D6116" w:rsidRDefault="009D61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A41AE" w14:textId="77777777" w:rsidR="009D6116" w:rsidRDefault="009D61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6A2DA" w14:textId="77777777" w:rsidR="009D6116" w:rsidRDefault="009D611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25BBE" w14:textId="77777777" w:rsidR="009D6116" w:rsidRDefault="009D6116">
            <w:pPr>
              <w:pStyle w:val="table10"/>
              <w:jc w:val="center"/>
            </w:pPr>
            <w:r>
              <w:t>12</w:t>
            </w:r>
          </w:p>
        </w:tc>
      </w:tr>
    </w:tbl>
    <w:p w14:paraId="31C79CC1" w14:textId="77777777" w:rsidR="009D6116" w:rsidRDefault="009D61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8"/>
        <w:gridCol w:w="4911"/>
      </w:tblGrid>
      <w:tr w:rsidR="009D6116" w14:paraId="37B1995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55DA" w14:textId="77777777" w:rsidR="009D6116" w:rsidRDefault="009D611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9C238" w14:textId="77777777" w:rsidR="009D6116" w:rsidRDefault="009D6116">
            <w:pPr>
              <w:pStyle w:val="append1"/>
            </w:pPr>
          </w:p>
          <w:p w14:paraId="3E5A9BEA" w14:textId="77777777" w:rsidR="009D6116" w:rsidRDefault="009D6116">
            <w:pPr>
              <w:pStyle w:val="append1"/>
            </w:pPr>
          </w:p>
          <w:p w14:paraId="18FAB374" w14:textId="77777777" w:rsidR="009D6116" w:rsidRDefault="009D6116">
            <w:pPr>
              <w:pStyle w:val="append1"/>
            </w:pPr>
          </w:p>
          <w:p w14:paraId="2C392A8E" w14:textId="77777777" w:rsidR="009D6116" w:rsidRDefault="009D6116">
            <w:pPr>
              <w:pStyle w:val="append1"/>
            </w:pPr>
          </w:p>
          <w:p w14:paraId="47C37B7F" w14:textId="77777777" w:rsidR="009D6116" w:rsidRDefault="009D6116">
            <w:pPr>
              <w:pStyle w:val="append1"/>
            </w:pPr>
          </w:p>
          <w:p w14:paraId="21FE86E8" w14:textId="77777777" w:rsidR="009D6116" w:rsidRDefault="009D6116">
            <w:pPr>
              <w:pStyle w:val="append1"/>
            </w:pPr>
          </w:p>
          <w:p w14:paraId="1D04FC10" w14:textId="77777777" w:rsidR="009D6116" w:rsidRDefault="009D6116">
            <w:pPr>
              <w:pStyle w:val="append1"/>
            </w:pPr>
          </w:p>
          <w:p w14:paraId="291A4FBA" w14:textId="77777777" w:rsidR="009D6116" w:rsidRDefault="009D6116">
            <w:pPr>
              <w:pStyle w:val="append1"/>
            </w:pPr>
          </w:p>
          <w:p w14:paraId="26561575" w14:textId="77777777" w:rsidR="009D6116" w:rsidRDefault="009D6116">
            <w:pPr>
              <w:pStyle w:val="append1"/>
            </w:pPr>
          </w:p>
          <w:p w14:paraId="47CD2F67" w14:textId="77777777" w:rsidR="009D6116" w:rsidRDefault="009D6116">
            <w:pPr>
              <w:pStyle w:val="append1"/>
            </w:pPr>
          </w:p>
          <w:p w14:paraId="1364E8A3" w14:textId="77777777" w:rsidR="009D6116" w:rsidRDefault="009D6116">
            <w:pPr>
              <w:pStyle w:val="append1"/>
            </w:pPr>
          </w:p>
          <w:p w14:paraId="4AAFADF1" w14:textId="77777777" w:rsidR="009D6116" w:rsidRDefault="009D6116">
            <w:pPr>
              <w:pStyle w:val="append1"/>
            </w:pPr>
          </w:p>
          <w:p w14:paraId="004B7FD0" w14:textId="213D609A" w:rsidR="009D6116" w:rsidRDefault="009D6116">
            <w:pPr>
              <w:pStyle w:val="append1"/>
            </w:pPr>
            <w:r>
              <w:t>Приложение 2</w:t>
            </w:r>
          </w:p>
          <w:p w14:paraId="6B730C73" w14:textId="77777777" w:rsidR="009D6116" w:rsidRDefault="009D6116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 xml:space="preserve">исполнительного комитета </w:t>
            </w:r>
            <w:r>
              <w:br/>
              <w:t>22.10.2024 № 1493</w:t>
            </w:r>
          </w:p>
        </w:tc>
      </w:tr>
    </w:tbl>
    <w:p w14:paraId="335415FD" w14:textId="77777777" w:rsidR="009D6116" w:rsidRDefault="009D6116">
      <w:pPr>
        <w:pStyle w:val="titlep"/>
        <w:jc w:val="left"/>
      </w:pPr>
      <w:r>
        <w:lastRenderedPageBreak/>
        <w:t>БРОНЯ</w:t>
      </w:r>
      <w:r>
        <w:br/>
        <w:t>нанимателям Бешенковичского района для приема на работу граждан из числа родителей, обязанных возмещать расходы, затраченные государством на содержание детей, находящихся на государственном обеспечении,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345"/>
        <w:gridCol w:w="5430"/>
      </w:tblGrid>
      <w:tr w:rsidR="009D6116" w14:paraId="766F0EE8" w14:textId="77777777">
        <w:trPr>
          <w:trHeight w:val="240"/>
        </w:trPr>
        <w:tc>
          <w:tcPr>
            <w:tcW w:w="1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C6905" w14:textId="77777777" w:rsidR="009D6116" w:rsidRDefault="009D61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5C40E" w14:textId="77777777" w:rsidR="009D6116" w:rsidRDefault="009D6116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1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EFB65" w14:textId="77777777" w:rsidR="009D6116" w:rsidRDefault="009D6116">
            <w:pPr>
              <w:pStyle w:val="table10"/>
              <w:jc w:val="center"/>
            </w:pPr>
            <w:r>
              <w:t>Количество, человек</w:t>
            </w:r>
          </w:p>
        </w:tc>
      </w:tr>
      <w:tr w:rsidR="009D6116" w14:paraId="1C9931ED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C37C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7206B" w14:textId="77777777" w:rsidR="009D6116" w:rsidRDefault="009D6116">
            <w:pPr>
              <w:pStyle w:val="table10"/>
            </w:pPr>
            <w:r>
              <w:t>Филиал «Бешенковичское дорожно-ремонтно-строительное управление № 110» коммунального проектно-ремонтно-строительного унитарного предприятия «</w:t>
            </w:r>
            <w:proofErr w:type="spellStart"/>
            <w:r>
              <w:t>Витебскоблдорстрой</w:t>
            </w:r>
            <w:proofErr w:type="spellEnd"/>
            <w:r>
              <w:t>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3A7CC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039AACED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D0B64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AE14E" w14:textId="77777777" w:rsidR="009D6116" w:rsidRDefault="009D6116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4F57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4319B2BF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BE5D" w14:textId="77777777" w:rsidR="009D6116" w:rsidRDefault="009D61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BCD73" w14:textId="77777777" w:rsidR="009D6116" w:rsidRDefault="009D6116">
            <w:pPr>
              <w:pStyle w:val="table10"/>
            </w:pPr>
            <w:r>
              <w:t>Бешенковичский филиал Витебского областного потребительского общества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5A28C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1B6361C3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13B7" w14:textId="77777777" w:rsidR="009D6116" w:rsidRDefault="009D61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03484" w14:textId="77777777" w:rsidR="009D6116" w:rsidRDefault="009D6116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B680C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596C243B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A41AB" w14:textId="77777777" w:rsidR="009D6116" w:rsidRDefault="009D61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61010" w14:textId="77777777" w:rsidR="009D6116" w:rsidRDefault="009D611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338F0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4A4DC6CC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6CB7E" w14:textId="77777777" w:rsidR="009D6116" w:rsidRDefault="009D61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9755F" w14:textId="77777777" w:rsidR="009D6116" w:rsidRDefault="009D6116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73C2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72E406C3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05A7A" w14:textId="77777777" w:rsidR="009D6116" w:rsidRDefault="009D61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BB00B" w14:textId="77777777" w:rsidR="009D6116" w:rsidRDefault="009D6116">
            <w:pPr>
              <w:pStyle w:val="table10"/>
            </w:pPr>
            <w:r>
              <w:t>Коммунальное строительное унитарное предприятие «Бешенковичская ПМК-41»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D78E6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0E49FFE6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466BE" w14:textId="77777777" w:rsidR="009D6116" w:rsidRDefault="009D61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66343" w14:textId="77777777" w:rsidR="009D6116" w:rsidRDefault="009D6116">
            <w:pPr>
              <w:pStyle w:val="table10"/>
            </w:pPr>
            <w:r>
              <w:t>Научно-производственное предприятие «</w:t>
            </w:r>
            <w:proofErr w:type="spellStart"/>
            <w:r>
              <w:t>Белкотломаш</w:t>
            </w:r>
            <w:proofErr w:type="spellEnd"/>
            <w:r>
              <w:t>» общество с ограниченной ответственностью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ACBD2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6FCF12C5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ACE68" w14:textId="77777777" w:rsidR="009D6116" w:rsidRDefault="009D61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D39EF" w14:textId="77777777" w:rsidR="009D6116" w:rsidRDefault="009D6116">
            <w:pPr>
              <w:pStyle w:val="table10"/>
            </w:pPr>
            <w:r>
              <w:t xml:space="preserve">Государственное лесохозяйственное учреждение «Бешенковичский лесхоз»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44A9C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7918CC8C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FF012" w14:textId="77777777" w:rsidR="009D6116" w:rsidRDefault="009D61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9E0F1" w14:textId="77777777" w:rsidR="009D6116" w:rsidRDefault="009D6116">
            <w:pPr>
              <w:pStyle w:val="table10"/>
            </w:pPr>
            <w:r>
              <w:t>Закрытое акционерное общество «АСБ-</w:t>
            </w:r>
            <w:proofErr w:type="spellStart"/>
            <w:r>
              <w:t>АгроНоватор</w:t>
            </w:r>
            <w:proofErr w:type="spellEnd"/>
            <w:r>
              <w:t>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767E0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1D6535E5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BFE56" w14:textId="77777777" w:rsidR="009D6116" w:rsidRDefault="009D61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FD3D" w14:textId="77777777" w:rsidR="009D6116" w:rsidRDefault="009D611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 xml:space="preserve">-ВМК»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7D864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61CBD93F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14332" w14:textId="77777777" w:rsidR="009D6116" w:rsidRDefault="009D61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BA70F" w14:textId="77777777" w:rsidR="009D6116" w:rsidRDefault="009D6116">
            <w:pPr>
              <w:pStyle w:val="table10"/>
            </w:pPr>
            <w:r>
              <w:t>Коммунальное дочернее унитарное предприятие мелиоративных систем «Бешенковичское ПМС»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4D8BE" w14:textId="77777777" w:rsidR="009D6116" w:rsidRDefault="009D6116">
            <w:pPr>
              <w:pStyle w:val="table10"/>
              <w:jc w:val="center"/>
            </w:pPr>
            <w:r>
              <w:t>1</w:t>
            </w:r>
          </w:p>
        </w:tc>
      </w:tr>
      <w:tr w:rsidR="009D6116" w14:paraId="71155EF8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3920" w14:textId="77777777" w:rsidR="009D6116" w:rsidRDefault="009D61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6866" w14:textId="77777777" w:rsidR="009D6116" w:rsidRDefault="009D6116">
            <w:pPr>
              <w:pStyle w:val="table10"/>
            </w:pPr>
            <w:r>
              <w:t xml:space="preserve">Производственный участок </w:t>
            </w:r>
            <w:proofErr w:type="spellStart"/>
            <w:r>
              <w:t>г.п</w:t>
            </w:r>
            <w:proofErr w:type="spellEnd"/>
            <w:r>
              <w:t>. Бешенковичи № 7 совместного общества с ограниченной ответственностью «Белвест»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800D8" w14:textId="77777777" w:rsidR="009D6116" w:rsidRDefault="009D6116">
            <w:pPr>
              <w:pStyle w:val="table10"/>
              <w:jc w:val="center"/>
            </w:pPr>
            <w:r>
              <w:t>2</w:t>
            </w:r>
          </w:p>
        </w:tc>
      </w:tr>
      <w:tr w:rsidR="009D6116" w14:paraId="50CCFF88" w14:textId="77777777">
        <w:trPr>
          <w:trHeight w:val="240"/>
        </w:trPr>
        <w:tc>
          <w:tcPr>
            <w:tcW w:w="332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93DB6" w14:textId="77777777" w:rsidR="009D6116" w:rsidRDefault="009D6116">
            <w:pPr>
              <w:pStyle w:val="table10"/>
            </w:pPr>
            <w:r>
              <w:t>ВСЕГО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1656E" w14:textId="77777777" w:rsidR="009D6116" w:rsidRDefault="009D6116">
            <w:pPr>
              <w:pStyle w:val="table10"/>
              <w:jc w:val="center"/>
            </w:pPr>
            <w:r>
              <w:t>22</w:t>
            </w:r>
          </w:p>
        </w:tc>
      </w:tr>
    </w:tbl>
    <w:p w14:paraId="6373E4B0" w14:textId="77777777" w:rsidR="009D6116" w:rsidRDefault="009D6116">
      <w:pPr>
        <w:pStyle w:val="newncpi"/>
      </w:pPr>
      <w:r>
        <w:t> </w:t>
      </w:r>
    </w:p>
    <w:p w14:paraId="70191D6F" w14:textId="77777777" w:rsidR="00F12C76" w:rsidRDefault="00F12C76" w:rsidP="006C0B77">
      <w:pPr>
        <w:spacing w:after="0"/>
        <w:ind w:firstLine="709"/>
        <w:jc w:val="both"/>
      </w:pPr>
    </w:p>
    <w:sectPr w:rsidR="00F12C76" w:rsidSect="009D6116">
      <w:pgSz w:w="16838" w:h="11906" w:orient="landscape"/>
      <w:pgMar w:top="567" w:right="289" w:bottom="567" w:left="340" w:header="28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AC90" w14:textId="77777777" w:rsidR="00150E2B" w:rsidRDefault="00150E2B" w:rsidP="009D6116">
      <w:pPr>
        <w:spacing w:after="0"/>
      </w:pPr>
      <w:r>
        <w:separator/>
      </w:r>
    </w:p>
  </w:endnote>
  <w:endnote w:type="continuationSeparator" w:id="0">
    <w:p w14:paraId="143E4D86" w14:textId="77777777" w:rsidR="00150E2B" w:rsidRDefault="00150E2B" w:rsidP="009D6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0194" w14:textId="77777777" w:rsidR="00150E2B" w:rsidRDefault="00150E2B" w:rsidP="009D6116">
      <w:pPr>
        <w:spacing w:after="0"/>
      </w:pPr>
      <w:r>
        <w:separator/>
      </w:r>
    </w:p>
  </w:footnote>
  <w:footnote w:type="continuationSeparator" w:id="0">
    <w:p w14:paraId="6FA1B1C5" w14:textId="77777777" w:rsidR="00150E2B" w:rsidRDefault="00150E2B" w:rsidP="009D6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0FC2" w14:textId="77777777" w:rsidR="009D6116" w:rsidRDefault="009D6116" w:rsidP="00690A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4319739" w14:textId="77777777" w:rsidR="009D6116" w:rsidRDefault="009D61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16"/>
    <w:rsid w:val="00150E2B"/>
    <w:rsid w:val="006A01BC"/>
    <w:rsid w:val="006C0B77"/>
    <w:rsid w:val="008242FF"/>
    <w:rsid w:val="00870751"/>
    <w:rsid w:val="00922C48"/>
    <w:rsid w:val="009D61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7AA80"/>
  <w15:chartTrackingRefBased/>
  <w15:docId w15:val="{A4F6C877-2985-40FC-865C-597C39B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D611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9D611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9D61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9D61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9D6116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9D6116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ppend1">
    <w:name w:val="append1"/>
    <w:basedOn w:val="a"/>
    <w:rsid w:val="009D611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9D61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9D611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9D61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D61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D61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61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D61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D61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611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D611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D611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D6116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9D6116"/>
  </w:style>
  <w:style w:type="table" w:styleId="a8">
    <w:name w:val="Table Grid"/>
    <w:basedOn w:val="a1"/>
    <w:uiPriority w:val="39"/>
    <w:rsid w:val="009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4726</Characters>
  <Application>Microsoft Office Word</Application>
  <DocSecurity>0</DocSecurity>
  <Lines>363</Lines>
  <Paragraphs>235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2024-11-28T06:14:00Z</dcterms:created>
  <dcterms:modified xsi:type="dcterms:W3CDTF">2024-11-28T06:16:00Z</dcterms:modified>
</cp:coreProperties>
</file>